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38" w:rsidRDefault="00193C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bidi/>
        <w:ind w:left="-900" w:right="-1080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510652</wp:posOffset>
            </wp:positionH>
            <wp:positionV relativeFrom="paragraph">
              <wp:posOffset>10048</wp:posOffset>
            </wp:positionV>
            <wp:extent cx="774700" cy="45148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3486638</wp:posOffset>
                </wp:positionH>
                <wp:positionV relativeFrom="paragraph">
                  <wp:posOffset>-57395</wp:posOffset>
                </wp:positionV>
                <wp:extent cx="800100" cy="676275"/>
                <wp:effectExtent l="6350" t="6350" r="1270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38" w:rsidRDefault="00193CF0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بسمه تعالي</w:t>
                            </w:r>
                          </w:p>
                          <w:p w:rsidR="00D90038" w:rsidRDefault="00D9003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left:0;text-align:left;margin-left:274.55pt;margin-top:-4.5pt;width:6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" strokecolor="white">
                <v:textbox>
                  <w:txbxContent>
                    <w:p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بسمه تعالي</w:t>
                      </w:r>
                    </w:p>
                    <w:p>
                      <w:pPr>
                        <w:bidi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038" w:rsidRDefault="00193CF0">
      <w:pPr>
        <w:tabs>
          <w:tab w:val="left" w:pos="3720"/>
          <w:tab w:val="left" w:pos="9780"/>
          <w:tab w:val="left" w:pos="14140"/>
        </w:tabs>
        <w:bidi/>
        <w:ind w:right="900"/>
        <w:jc w:val="right"/>
        <w:rPr>
          <w:rFonts w:ascii="IranNastaliq" w:hAnsi="IranNastaliq" w:cs="IranNastaliq"/>
          <w:b/>
          <w:bCs/>
          <w:sz w:val="22"/>
          <w:szCs w:val="22"/>
        </w:rPr>
      </w:pP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ascii="IranNastaliq" w:hAnsi="IranNastaliq" w:cs="IranNastaliq"/>
          <w:b/>
          <w:bCs/>
          <w:sz w:val="22"/>
          <w:szCs w:val="22"/>
          <w:rtl/>
        </w:rPr>
        <w:t>شرکت ملی صنایع پتروشیمی</w:t>
      </w:r>
    </w:p>
    <w:tbl>
      <w:tblPr>
        <w:tblpPr w:leftFromText="180" w:rightFromText="180" w:bottomFromText="200" w:vertAnchor="page" w:horzAnchor="margin" w:tblpXSpec="center" w:tblpY="15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43"/>
        <w:gridCol w:w="3307"/>
        <w:gridCol w:w="3783"/>
        <w:gridCol w:w="1773"/>
        <w:gridCol w:w="990"/>
        <w:gridCol w:w="880"/>
        <w:gridCol w:w="6"/>
      </w:tblGrid>
      <w:tr w:rsidR="00D90038">
        <w:trPr>
          <w:cantSplit/>
          <w:trHeight w:val="479"/>
          <w:tblHeader/>
        </w:trPr>
        <w:tc>
          <w:tcPr>
            <w:tcW w:w="1118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ind w:left="3804" w:hanging="3771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lastRenderedPageBreak/>
              <w:t>موضوع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جلسه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: </w:t>
            </w:r>
            <w:r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هشتاد و پنج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مین جلسه کمیته تخصصی پتروشیمی                                                               </w:t>
            </w:r>
            <w:r>
              <w:rPr>
                <w:rFonts w:cs="B Nazanin"/>
                <w:sz w:val="25"/>
                <w:szCs w:val="25"/>
              </w:rPr>
              <w:t xml:space="preserve"> md-4-085 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</w:t>
            </w:r>
          </w:p>
        </w:tc>
      </w:tr>
      <w:tr w:rsidR="00D90038">
        <w:trPr>
          <w:gridAfter w:val="1"/>
          <w:wAfter w:w="6" w:type="dxa"/>
          <w:cantSplit/>
          <w:trHeight w:hRule="exact" w:val="475"/>
          <w:tblHeader/>
        </w:trPr>
        <w:tc>
          <w:tcPr>
            <w:tcW w:w="3750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0038" w:rsidRDefault="00193CF0">
            <w:pPr>
              <w:bidi/>
              <w:ind w:right="31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تاريخ :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05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/06/1401 </w:t>
            </w:r>
          </w:p>
          <w:p w:rsidR="00D90038" w:rsidRDefault="00193CF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 : 09:20</w:t>
            </w:r>
          </w:p>
          <w:p w:rsidR="00D90038" w:rsidRDefault="00193CF0">
            <w:pPr>
              <w:bidi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خاتمه: 12:45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038" w:rsidRDefault="00193CF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جلسه:</w:t>
            </w:r>
          </w:p>
          <w:p w:rsidR="00D90038" w:rsidRDefault="00193CF0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 xml:space="preserve">شرکت ملی صنایع </w:t>
            </w: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پتروشیمی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43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90038" w:rsidRDefault="00193CF0">
            <w:pPr>
              <w:bidi/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صفحه:   </w:t>
            </w:r>
            <w:sdt>
              <w:sdtPr>
                <w:rPr>
                  <w:rFonts w:cs="B Nazanin"/>
                  <w:rtl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cs="B Nazanin" w:hint="cs"/>
                    <w:rtl/>
                  </w:rPr>
                  <w:t xml:space="preserve">1 از </w:t>
                </w:r>
                <w:r>
                  <w:rPr>
                    <w:rFonts w:cs="B Nazanin" w:hint="cs"/>
                    <w:rtl/>
                    <w:lang w:bidi="fa-IR"/>
                  </w:rPr>
                  <w:t>2</w:t>
                </w:r>
              </w:sdtContent>
            </w:sdt>
          </w:p>
          <w:p w:rsidR="00D90038" w:rsidRDefault="00D90038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90038">
        <w:trPr>
          <w:gridAfter w:val="1"/>
          <w:wAfter w:w="6" w:type="dxa"/>
          <w:cantSplit/>
          <w:trHeight w:val="435"/>
          <w:tblHeader/>
        </w:trPr>
        <w:tc>
          <w:tcPr>
            <w:tcW w:w="3750" w:type="dxa"/>
            <w:gridSpan w:val="2"/>
            <w:vMerge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038" w:rsidRDefault="00D90038">
            <w:pPr>
              <w:ind w:left="3804" w:hanging="2847"/>
              <w:rPr>
                <w:rFonts w:cs="B Nazanin"/>
                <w:b/>
                <w:bCs/>
                <w:sz w:val="25"/>
                <w:szCs w:val="25"/>
              </w:rPr>
            </w:pPr>
          </w:p>
        </w:tc>
        <w:tc>
          <w:tcPr>
            <w:tcW w:w="3783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038" w:rsidRDefault="00D90038">
            <w:pPr>
              <w:ind w:left="3804" w:hanging="2847"/>
              <w:rPr>
                <w:rFonts w:cs="B Nazanin"/>
                <w:b/>
                <w:bCs/>
                <w:sz w:val="25"/>
                <w:szCs w:val="25"/>
              </w:rPr>
            </w:pPr>
          </w:p>
        </w:tc>
        <w:tc>
          <w:tcPr>
            <w:tcW w:w="3643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0038" w:rsidRDefault="00193CF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پيوست:         -</w:t>
            </w:r>
          </w:p>
        </w:tc>
      </w:tr>
      <w:tr w:rsidR="00D90038">
        <w:trPr>
          <w:trHeight w:val="795"/>
        </w:trPr>
        <w:tc>
          <w:tcPr>
            <w:tcW w:w="11182" w:type="dxa"/>
            <w:gridSpan w:val="7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D90038" w:rsidRDefault="00193CF0">
            <w:pPr>
              <w:bidi/>
              <w:spacing w:line="276" w:lineRule="auto"/>
              <w:ind w:firstLine="3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شركت كنندگان</w:t>
            </w:r>
            <w:r>
              <w:rPr>
                <w:rFonts w:cs="B Nazanin"/>
                <w:b/>
                <w:bCs/>
                <w:sz w:val="20"/>
                <w:szCs w:val="20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آقایان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af-ZA" w:bidi="fa-IR"/>
              </w:rPr>
              <w:t xml:space="preserve"> یعقوبی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(بورس کالا)، علیرضایی (وزارت صمت)، بابالو (اتاق بازرگانی)، حفیظی (اتاق تعاون)، نیکخو (هلدینگ خلیج فارس)، حمیدی (نویدزرشیمی)، شفیع (پلی پروپیلن جم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)، رضایی (پتروشیمی آرمان سپاهان)، غلامی،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منصوری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پور، نعیمی، سلیمانی و خانعلی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لو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B Nazanin"/>
                <w:b/>
                <w:bCs/>
                <w:sz w:val="18"/>
                <w:szCs w:val="18"/>
              </w:rPr>
              <w:t>NPC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  <w:p w:rsidR="00D90038" w:rsidRDefault="00193CF0">
            <w:pPr>
              <w:bidi/>
              <w:spacing w:line="276" w:lineRule="auto"/>
              <w:ind w:firstLine="3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ها: طهماسبی (انجمن صنفی کارفرمایی پتروشیمی)، فرقانی 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سازمان حمایت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)، قاسمی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(پتروشیمی آرمان سپاهان)،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محمدخانی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>
              <w:rPr>
                <w:rFonts w:cs="B Nazanin"/>
                <w:b/>
                <w:bCs/>
                <w:sz w:val="18"/>
                <w:szCs w:val="18"/>
              </w:rPr>
              <w:t>NPC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D90038">
        <w:trPr>
          <w:cantSplit/>
          <w:trHeight w:val="597"/>
        </w:trPr>
        <w:tc>
          <w:tcPr>
            <w:tcW w:w="44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90038" w:rsidRDefault="00193CF0">
            <w:pPr>
              <w:bidi/>
              <w:spacing w:line="276" w:lineRule="auto"/>
              <w:ind w:left="365" w:right="113" w:hanging="252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88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ind w:left="252" w:hanging="252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شرح مصوبه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مسؤول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اقدام /</w:t>
            </w:r>
          </w:p>
        </w:tc>
        <w:tc>
          <w:tcPr>
            <w:tcW w:w="886" w:type="dxa"/>
            <w:gridSpan w:val="2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مهلت اقدام</w:t>
            </w:r>
          </w:p>
        </w:tc>
      </w:tr>
      <w:tr w:rsidR="00D90038">
        <w:trPr>
          <w:trHeight w:val="632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spacing w:before="120"/>
              <w:ind w:left="117" w:right="176" w:hanging="117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ارایه گزارش پایش عرضه محصولات پتروشیمی و دلایل عدم رعایت کف عرضه: </w:t>
            </w:r>
          </w:p>
          <w:p w:rsidR="00D90038" w:rsidRDefault="00193CF0">
            <w:pPr>
              <w:pStyle w:val="ListParagraph"/>
              <w:numPr>
                <w:ilvl w:val="0"/>
                <w:numId w:val="12"/>
              </w:numPr>
              <w:bidi/>
              <w:ind w:left="194" w:right="176" w:hanging="1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PVC-S57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 : </w:t>
            </w:r>
            <w:r>
              <w:rPr>
                <w:rFonts w:cs="B Nazanin" w:hint="cs"/>
                <w:rtl/>
                <w:lang w:bidi="fa-IR"/>
              </w:rPr>
              <w:t xml:space="preserve">تعمیرات پتروشیمی آبادان و لزوم ایفای تعهدات عقب مانده </w:t>
            </w:r>
          </w:p>
          <w:p w:rsidR="00D90038" w:rsidRDefault="00193CF0">
            <w:pPr>
              <w:pStyle w:val="ListParagraph"/>
              <w:numPr>
                <w:ilvl w:val="0"/>
                <w:numId w:val="12"/>
              </w:numPr>
              <w:bidi/>
              <w:ind w:left="194" w:right="176" w:hanging="1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اتیلن گلایکول: تعمیرات پتروشیمی مارون</w:t>
            </w:r>
          </w:p>
          <w:p w:rsidR="00D90038" w:rsidRDefault="00193CF0">
            <w:pPr>
              <w:pStyle w:val="ListParagraph"/>
              <w:numPr>
                <w:ilvl w:val="0"/>
                <w:numId w:val="12"/>
              </w:numPr>
              <w:bidi/>
              <w:ind w:left="194" w:right="176" w:hanging="1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TDI</w:t>
            </w:r>
            <w:r>
              <w:rPr>
                <w:rFonts w:cs="B Nazanin" w:hint="cs"/>
                <w:rtl/>
                <w:lang w:bidi="fa-IR"/>
              </w:rPr>
              <w:t xml:space="preserve"> : تعمیرات پتروشیمی کارون و  لزوم ایفای تعهدات عقب مانده </w:t>
            </w:r>
          </w:p>
          <w:p w:rsidR="00D90038" w:rsidRDefault="00193CF0">
            <w:pPr>
              <w:pStyle w:val="ListParagraph"/>
              <w:numPr>
                <w:ilvl w:val="0"/>
                <w:numId w:val="12"/>
              </w:numPr>
              <w:bidi/>
              <w:ind w:left="194" w:hanging="1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مخلوط زایلین: تعمیرات </w:t>
            </w:r>
            <w:r>
              <w:rPr>
                <w:rFonts w:cs="B Nazanin" w:hint="cs"/>
                <w:rtl/>
                <w:lang w:bidi="fa-IR"/>
              </w:rPr>
              <w:t>پتروشیمی اصفهان</w:t>
            </w:r>
          </w:p>
          <w:p w:rsidR="00D90038" w:rsidRDefault="00193CF0">
            <w:pPr>
              <w:pStyle w:val="ListParagraph"/>
              <w:numPr>
                <w:ilvl w:val="0"/>
                <w:numId w:val="12"/>
              </w:numPr>
              <w:bidi/>
              <w:ind w:left="194" w:hanging="18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پلی اتیلن سنگین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بادی: قطعی برق شرکت پلیمر کرمانشاه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NPC</w:t>
            </w:r>
          </w:p>
        </w:tc>
      </w:tr>
      <w:tr w:rsidR="00D90038">
        <w:trPr>
          <w:trHeight w:val="1073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8" w:rsidRDefault="00193CF0">
            <w:pPr>
              <w:bidi/>
              <w:spacing w:before="12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مقرر گردید عرضه محصولات پتروشیمی خوزستان با ضمانت موجود شرکت هلدینگ خلیج فارس نزد بورس کالا، توسط بورس کالا از سر گرفته شود. پیگیری رفع موانع حقوقی و رسیدگی به شکایات توسط هلدینگ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انجام شود.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بورس کالا</w:t>
            </w:r>
          </w:p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هلدینگ خلیج فارس</w:t>
            </w:r>
          </w:p>
        </w:tc>
      </w:tr>
      <w:tr w:rsidR="00D90038">
        <w:trPr>
          <w:trHeight w:val="1115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8" w:rsidRDefault="00193CF0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توجه به اورهال پتروشیمی پارس مقرر گردید اصلاح مقدار کف عرضه جهت امکان عرضه مستمر در طول مدت اورهال پارس، با نسبت تفکیک عرضه استایرن 25% و 75% برای صنایع رنگ، رزین، کامپوزیت و پلی استایرن در بورس انجام شود.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(مخالف: بورس کالا و اتاق بازرگانی)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بورس کالا</w:t>
            </w:r>
          </w:p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NPC</w:t>
            </w:r>
          </w:p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پتروشیمی پارس</w:t>
            </w:r>
          </w:p>
        </w:tc>
      </w:tr>
      <w:tr w:rsidR="00D90038">
        <w:trPr>
          <w:trHeight w:val="1061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8" w:rsidRDefault="00193CF0">
            <w:pPr>
              <w:bidi/>
              <w:spacing w:before="12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اصلاح مصوبه بند 11 صورتجلسه 83 ، با توجه به محدودیت انبارش پتروشیمی ها و اعلام شرکت بورس کالا (نامه شماره 2950 مورخ 19/5/1401)، موضوع أخذ هزینه انبارداری توسط فروشنده مطابق ضوابط بورس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کالا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باشد.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بورس کالا</w:t>
            </w:r>
          </w:p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شرکت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پتروشیمی</w:t>
            </w:r>
          </w:p>
        </w:tc>
      </w:tr>
      <w:tr w:rsidR="00D90038">
        <w:trPr>
          <w:trHeight w:val="1145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8" w:rsidRDefault="00193CF0">
            <w:pPr>
              <w:bidi/>
              <w:spacing w:before="120"/>
              <w:ind w:right="176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خصوص گریدهای </w:t>
            </w:r>
            <w:r>
              <w:rPr>
                <w:rFonts w:cs="B Nazanin"/>
                <w:sz w:val="26"/>
                <w:szCs w:val="26"/>
                <w:lang w:bidi="fa-IR"/>
              </w:rPr>
              <w:t>RP270G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</w:t>
            </w:r>
            <w:r>
              <w:rPr>
                <w:rFonts w:cs="B Nazanin"/>
                <w:sz w:val="26"/>
                <w:szCs w:val="26"/>
                <w:lang w:bidi="fa-IR"/>
              </w:rPr>
              <w:t>120L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پلی پروپیلن جم(</w:t>
            </w:r>
            <w:r>
              <w:rPr>
                <w:rFonts w:cs="B Nazanin"/>
                <w:sz w:val="26"/>
                <w:szCs w:val="26"/>
                <w:lang w:bidi="fa-IR"/>
              </w:rPr>
              <w:t>on, off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)،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توجه به اینکه با وجود غیر بهین یاب شدن معاملات در بورس معامله نشده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اند، فروش خارج بورس طی مزایده و با ثبت اطلاعات در سامانه جامع تجارت و ثامن تصویب شد.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(مخالف: بورس کالا و اتاق بازرگانی)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پلی پروپیلن جم</w:t>
            </w:r>
          </w:p>
        </w:tc>
      </w:tr>
      <w:tr w:rsidR="00D90038">
        <w:trPr>
          <w:trHeight w:val="1145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8" w:rsidRDefault="00193CF0">
            <w:pPr>
              <w:bidi/>
              <w:spacing w:before="120"/>
              <w:ind w:right="176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 خصوص تأمین بین مجتمعی اسید استیک شرکت پتروشیمی آرمان سپاهان موضوع تأمین خارج از بورس تصویب نشد. اصلاح سهمیه بهین یابی این شرکت توسط وزارت صمت بررسی شود.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آرمان سپاهان</w:t>
            </w:r>
          </w:p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وزارت صمت</w:t>
            </w:r>
          </w:p>
        </w:tc>
      </w:tr>
      <w:tr w:rsidR="00D90038">
        <w:trPr>
          <w:trHeight w:val="1145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8" w:rsidRDefault="00193CF0">
            <w:pPr>
              <w:bidi/>
              <w:spacing w:before="120"/>
              <w:ind w:right="176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گزارش اجرای مصوبه بند 5 صورتجلسه 83 در خصوص نحوه سهمیه بندی </w:t>
            </w:r>
            <w:r>
              <w:rPr>
                <w:rFonts w:cs="B Nazanin"/>
                <w:sz w:val="26"/>
                <w:szCs w:val="26"/>
                <w:lang w:bidi="fa-IR"/>
              </w:rPr>
              <w:t>PVC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توسط وزارت صمت و بورس کالا ارائه شد. مقرر شد سهمیه مصرف کنندگان دارای سهمیه </w:t>
            </w:r>
            <w:r>
              <w:rPr>
                <w:rFonts w:cs="B Nazanin"/>
                <w:sz w:val="26"/>
                <w:szCs w:val="26"/>
                <w:lang w:bidi="fa-IR"/>
              </w:rPr>
              <w:t>S60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بهین یاب در قالب سهمیه 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PVC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توسط صمت لحاظ شود. ( به جز 5 شرکت معرفی شده وزارت بهداشت) و در زمان عرضه گرید </w:t>
            </w:r>
            <w:r>
              <w:rPr>
                <w:rFonts w:cs="B Nazanin"/>
                <w:sz w:val="26"/>
                <w:szCs w:val="26"/>
                <w:lang w:bidi="fa-IR"/>
              </w:rPr>
              <w:t>S60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عرضه اختصاصی برای شرکت های معرفی شده بهداشت و تولیدکنندگان اتصالات </w:t>
            </w:r>
            <w:r>
              <w:rPr>
                <w:rFonts w:cs="B Nazanin"/>
                <w:sz w:val="26"/>
                <w:szCs w:val="26"/>
                <w:lang w:bidi="fa-IR"/>
              </w:rPr>
              <w:t>PVC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صورت جداگانه انجام شود.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وزارت صمت</w:t>
            </w:r>
          </w:p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بورس کالا</w:t>
            </w:r>
          </w:p>
        </w:tc>
      </w:tr>
    </w:tbl>
    <w:p w:rsidR="00D90038" w:rsidRDefault="00193CF0">
      <w:pPr>
        <w:bidi/>
      </w:pPr>
      <w:r>
        <w:br w:type="page"/>
      </w:r>
    </w:p>
    <w:tbl>
      <w:tblPr>
        <w:tblpPr w:leftFromText="180" w:rightFromText="180" w:bottomFromText="200" w:vertAnchor="page" w:horzAnchor="margin" w:tblpXSpec="center" w:tblpY="15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43"/>
        <w:gridCol w:w="3307"/>
        <w:gridCol w:w="3783"/>
        <w:gridCol w:w="1773"/>
        <w:gridCol w:w="1870"/>
        <w:gridCol w:w="6"/>
      </w:tblGrid>
      <w:tr w:rsidR="00D90038">
        <w:trPr>
          <w:cantSplit/>
          <w:trHeight w:val="479"/>
          <w:tblHeader/>
        </w:trPr>
        <w:tc>
          <w:tcPr>
            <w:tcW w:w="1118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ind w:left="3804" w:hanging="3771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lastRenderedPageBreak/>
              <w:t>موضوع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جلسه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: </w:t>
            </w:r>
            <w:r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هشتاد و پنج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مین جلسه کمیته تخصصی پتروشیمی                                                               </w:t>
            </w:r>
            <w:r>
              <w:rPr>
                <w:rFonts w:cs="B Nazanin"/>
                <w:sz w:val="25"/>
                <w:szCs w:val="25"/>
              </w:rPr>
              <w:t xml:space="preserve"> md-4-085 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</w:t>
            </w:r>
          </w:p>
        </w:tc>
      </w:tr>
      <w:tr w:rsidR="00D90038">
        <w:trPr>
          <w:gridAfter w:val="1"/>
          <w:wAfter w:w="6" w:type="dxa"/>
          <w:cantSplit/>
          <w:trHeight w:hRule="exact" w:val="475"/>
          <w:tblHeader/>
        </w:trPr>
        <w:tc>
          <w:tcPr>
            <w:tcW w:w="3750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0038" w:rsidRDefault="00193CF0">
            <w:pPr>
              <w:bidi/>
              <w:ind w:right="31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تاريخ :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05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/06/1401 </w:t>
            </w:r>
          </w:p>
          <w:p w:rsidR="00D90038" w:rsidRDefault="00193CF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 : 09:20</w:t>
            </w:r>
          </w:p>
          <w:p w:rsidR="00D90038" w:rsidRDefault="00193CF0">
            <w:pPr>
              <w:bidi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خاتمه: 12:45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038" w:rsidRDefault="00193CF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جلسه:</w:t>
            </w:r>
          </w:p>
          <w:p w:rsidR="00D90038" w:rsidRDefault="00193CF0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 xml:space="preserve">شرکت ملی صنایع </w:t>
            </w: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پتروشیمی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43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90038" w:rsidRDefault="00193CF0">
            <w:pPr>
              <w:bidi/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صفحه:   </w:t>
            </w:r>
            <w:sdt>
              <w:sdtPr>
                <w:rPr>
                  <w:rFonts w:cs="B Nazanin"/>
                  <w:rtl/>
                </w:rPr>
                <w:id w:val="-994485600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cs="B Nazanin" w:hint="cs"/>
                    <w:rtl/>
                  </w:rPr>
                  <w:t>2 از 2</w:t>
                </w:r>
              </w:sdtContent>
            </w:sdt>
          </w:p>
          <w:p w:rsidR="00D90038" w:rsidRDefault="00D90038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90038">
        <w:trPr>
          <w:gridAfter w:val="1"/>
          <w:wAfter w:w="6" w:type="dxa"/>
          <w:cantSplit/>
          <w:trHeight w:val="435"/>
          <w:tblHeader/>
        </w:trPr>
        <w:tc>
          <w:tcPr>
            <w:tcW w:w="3750" w:type="dxa"/>
            <w:gridSpan w:val="2"/>
            <w:vMerge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038" w:rsidRDefault="00D90038">
            <w:pPr>
              <w:ind w:left="3804" w:hanging="2847"/>
              <w:rPr>
                <w:rFonts w:cs="B Nazanin"/>
                <w:b/>
                <w:bCs/>
                <w:sz w:val="25"/>
                <w:szCs w:val="25"/>
              </w:rPr>
            </w:pPr>
          </w:p>
        </w:tc>
        <w:tc>
          <w:tcPr>
            <w:tcW w:w="3783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038" w:rsidRDefault="00D90038">
            <w:pPr>
              <w:ind w:left="3804" w:hanging="2847"/>
              <w:rPr>
                <w:rFonts w:cs="B Nazanin"/>
                <w:b/>
                <w:bCs/>
                <w:sz w:val="25"/>
                <w:szCs w:val="25"/>
              </w:rPr>
            </w:pPr>
          </w:p>
        </w:tc>
        <w:tc>
          <w:tcPr>
            <w:tcW w:w="3643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0038" w:rsidRDefault="00193CF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پيوست:         -</w:t>
            </w:r>
          </w:p>
        </w:tc>
      </w:tr>
      <w:tr w:rsidR="00D90038">
        <w:trPr>
          <w:trHeight w:val="1448"/>
        </w:trPr>
        <w:tc>
          <w:tcPr>
            <w:tcW w:w="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38" w:rsidRDefault="00193C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8" w:rsidRDefault="00193CF0">
            <w:pPr>
              <w:bidi/>
              <w:spacing w:before="120"/>
              <w:ind w:right="176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مقرر گردید عرضه محصولات پتروشیمی هگمتانه متناسب با خوراک دریافتی در یورس کالا انجام شود. همچنین جهت أخذ سهمیه بهین یابی برای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تولید کامپاند توسط این شرکت از وزارت صمت اقدام گردد (پس از انجام اقدام مورد اشاره قیمابین هگمتانه و وزارت صمت، بخشی از تولید هگمتانه مطابق قوانین و ضوابط، جهت تولید کامپاند، توسط خودشان، مصرف خواهد شد).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پتروشیمی هگمتانه / دو هفته</w:t>
            </w:r>
          </w:p>
        </w:tc>
      </w:tr>
      <w:tr w:rsidR="00D90038">
        <w:trPr>
          <w:trHeight w:val="1556"/>
        </w:trPr>
        <w:tc>
          <w:tcPr>
            <w:tcW w:w="11182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038" w:rsidRDefault="00193CF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امضای دبیر جلسه:</w:t>
            </w:r>
          </w:p>
        </w:tc>
      </w:tr>
    </w:tbl>
    <w:p w:rsidR="00D90038" w:rsidRDefault="00D90038">
      <w:pPr>
        <w:bidi/>
      </w:pPr>
    </w:p>
    <w:sectPr w:rsidR="00D90038">
      <w:pgSz w:w="11907" w:h="16839" w:code="9"/>
      <w:pgMar w:top="259" w:right="0" w:bottom="36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F0" w:rsidRDefault="00193CF0">
      <w:r>
        <w:separator/>
      </w:r>
    </w:p>
  </w:endnote>
  <w:endnote w:type="continuationSeparator" w:id="0">
    <w:p w:rsidR="00193CF0" w:rsidRDefault="0019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F0" w:rsidRDefault="00193CF0">
      <w:r>
        <w:separator/>
      </w:r>
    </w:p>
  </w:footnote>
  <w:footnote w:type="continuationSeparator" w:id="0">
    <w:p w:rsidR="00193CF0" w:rsidRDefault="0019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7BB"/>
    <w:multiLevelType w:val="hybridMultilevel"/>
    <w:tmpl w:val="62C8FC9C"/>
    <w:lvl w:ilvl="0" w:tplc="51B856EE">
      <w:numFmt w:val="arabicAlpha"/>
      <w:lvlText w:val="%1-"/>
      <w:lvlJc w:val="left"/>
      <w:pPr>
        <w:ind w:left="1170" w:hanging="81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73AD"/>
    <w:multiLevelType w:val="hybridMultilevel"/>
    <w:tmpl w:val="7E86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7D9"/>
    <w:multiLevelType w:val="hybridMultilevel"/>
    <w:tmpl w:val="6C82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05C11"/>
    <w:multiLevelType w:val="hybridMultilevel"/>
    <w:tmpl w:val="68AAADC0"/>
    <w:lvl w:ilvl="0" w:tplc="382AF34A">
      <w:start w:val="1"/>
      <w:numFmt w:val="decimal"/>
      <w:lvlText w:val="%1)"/>
      <w:lvlJc w:val="left"/>
      <w:pPr>
        <w:ind w:left="87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 w15:restartNumberingAfterBreak="0">
    <w:nsid w:val="47D87486"/>
    <w:multiLevelType w:val="hybridMultilevel"/>
    <w:tmpl w:val="7C3EB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13A58"/>
    <w:multiLevelType w:val="hybridMultilevel"/>
    <w:tmpl w:val="086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418"/>
    <w:multiLevelType w:val="hybridMultilevel"/>
    <w:tmpl w:val="05C6E0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C2D47"/>
    <w:multiLevelType w:val="hybridMultilevel"/>
    <w:tmpl w:val="7A58F5E6"/>
    <w:lvl w:ilvl="0" w:tplc="382AF34A">
      <w:start w:val="1"/>
      <w:numFmt w:val="decimal"/>
      <w:lvlText w:val="%1)"/>
      <w:lvlJc w:val="left"/>
      <w:pPr>
        <w:ind w:left="103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786E61C3"/>
    <w:multiLevelType w:val="hybridMultilevel"/>
    <w:tmpl w:val="6272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1AB6"/>
    <w:multiLevelType w:val="hybridMultilevel"/>
    <w:tmpl w:val="CE22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8"/>
    <w:rsid w:val="00084E40"/>
    <w:rsid w:val="00193CF0"/>
    <w:rsid w:val="00D9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4C31A-A163-409E-8F58-954FC893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19B-9589-442B-9CA4-520D8080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NASIRIAN</dc:creator>
  <cp:lastModifiedBy>server</cp:lastModifiedBy>
  <cp:revision>2</cp:revision>
  <cp:lastPrinted>2022-07-09T08:14:00Z</cp:lastPrinted>
  <dcterms:created xsi:type="dcterms:W3CDTF">2022-08-29T09:37:00Z</dcterms:created>
  <dcterms:modified xsi:type="dcterms:W3CDTF">2022-08-29T09:37:00Z</dcterms:modified>
</cp:coreProperties>
</file>